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Interest Groups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must request approval to form a new special interest group by submitting a petition to the Director of Student Activities to become active from the Student Government Association, the Dean of Student Services and the College administration via the President’s Cabinet. The petition must include: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 Special Interest Group 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 statement of purpose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A  list of interested students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The name of the faculty or staff advisor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The name and contact of group leader who will act as liaison to the Director of Student Activities – Tim Mellon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Expected activities of the group</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Membership Guidelines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Expenses/Budget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Present the group to the SGA, where a vote will take place for approval.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Groups must also be approved by the Dean of Student Services.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Special Interest Group will be provided with the following privileges: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Opportunity to represent the group at club night.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Allowed 8 approved copies per event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$25 in print money.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Access to Astra and Flagler facilities for meetings and events.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1 mass email sent out for each group event.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Opportunity to request grants from the SGA.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Interests Groups must renew their active status with the SGA each fall.  This will entail going before the Student Government Association at the beginning of every year for approval.  The group must present the purpose of the club and your intentions and the SGA will vote.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